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76</w:t>
      </w:r>
    </w:p>
    <w:p>
      <w:r>
        <w:t>Bundesgericht (BGE), 2007-01-23, DE</w:t>
      </w:r>
    </w:p>
    <w:p>
      <w:r>
        <w:rPr>
          <w:b/>
        </w:rPr>
        <w:t xml:space="preserve">Quelle: </w:t>
      </w:r>
      <w:r>
        <w:t>https://mcp.opencaselaw.ch/entscheid/bge_133 IV 76</w:t>
      </w:r>
    </w:p>
    <w:p>
      <w:r>
        <w:t>FR: ATF 133 IV 76</w:t>
      </w:r>
    </w:p>
    <w:p>
      <w:r>
        <w:t>IT: DTF 133 IV 76</w:t>
      </w:r>
    </w:p>
    <w:p>
      <w:pPr>
        <w:pStyle w:val="Heading2"/>
      </w:pPr>
      <w:r>
        <w:t>Regeste</w:t>
      </w:r>
    </w:p>
    <w:p>
      <w:r>
        <w:t>Regeste Art. 51 Ziff. 4 des I. Zusatzprotokolls zu den Genfer Konventionen; Art. 2 Ziff. 1, Art. 10, 12 Ziff. 2 lit. b und Art. 14 Ziff. 1 EAUe; Art. 7 und 10 Ziff. 1 UNO-Pakt II; Art. 3 EMRK; Art. 10 Abs. 3 und Art. 25 Abs. 3 BV; Art. 24 und 111 StGB. Auslieferung; Verfolgung eines mutmasslichen Führungsmitglieds der PKK durch die Türkei. Anforderungen an das Auslieferungsersuchen; Vorwürfe gegen den Verfolgten laut Ersuchen; beidseitige Strafbarkeit bejaht im Hinblick auf die untersuchte Teilnahme an der Tötung eines sogenannten "Dorfwächters" (E. 2). Einrede des politischen Deliktes. Mitberücksichtigung der bürgerkriegsähnlichen Situation im Zeitpunkt der verfolgten Straftat. Problematische Abgrenzung zwischen Terrorismus und legitimem Widerstandskampf gegen ethnische Verfolgung und Unterdrückung. Terroristischer Charakter namentlich von schweren Gewalttaten, die unterschiedslos auch Unbeteiligte bzw. Zivilisten treffen (E. 3.8 und 3.9). Anforderungen an ausreichende Menschenrechtsgarantien des ersuchenden Staates in Auslieferungsfällen wie dem vorliegenden (E. 4).</w:t>
      </w:r>
    </w:p>
    <w:p>
      <w:pPr>
        <w:pStyle w:val="Heading2"/>
      </w:pPr>
      <w:r>
        <w:t>Erwägungen</w:t>
      </w:r>
    </w:p>
    <w:p>
      <w:r>
        <w:rPr>
          <w:b/>
        </w:rPr>
        <w:t>E. 2</w:t>
      </w:r>
    </w:p>
    <w:p>
      <w:r>
        <w:t>Der Verfolgte macht zunächst geltend, das Ersuchen bzw. dessen Ergänzungen und Beilagen enthielten eine chronologisch völlig chaotische Darstellung des Sachverhaltes. Das Mass der Substantiierung der Vorwürfe sei ungenügend. Die Sachdarstellung enthalte verschiedene Widersprüche und Unklarheiten, was grösste Zweifel an den Vorwürfen der ersuchenden Behörde begründe. Angesichts seiner langjährigen (im Mai 1989 begonnenen) "politischen Arbeit" für die PKK (ab 1995 unter anderem "als Mitglied des Zentralkomitees") würden die Vorwürfe nur vorgeschoben. Er habe mit den im Ersuchen dargelegten Sachverhalten nichts zu tun. Belastende Aussagen eines Mitangeklagten seien ausserdem (laut Einvernahmeprotokoll) unter Zwang erfolgt. Die Mängel des Ersuchens seien selbst nach mehreren Jahren und nach mehreren Gelegenheiten zur Substantiierung nicht behoben worden. Da sich die Vorwürfe nicht unter Art. 260 ter StGB subsumieren liessen, fehle es überdies am Erfordernis der beidseitigen Strafbarkeit. BGE 133 IV 76 S. 79</w:t>
      </w:r>
    </w:p>
    <w:p>
      <w:r>
        <w:rPr>
          <w:b/>
        </w:rPr>
        <w:t>E. 2.1</w:t>
      </w:r>
    </w:p>
    <w:p>
      <w:r>
        <w:t>Nach Massgabe des Europäischen Auslieferungsüberkeinkommens vom 13. Dezember 1957 (EAUe; SR 0.353.1)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des Bundesgesetzes vom 20. März 1981 über internationale Rechtshilfe in Strafsachen [IRSG; SR 351.1]; vgl. BGE 128 II 355 E. 2.1 S. 360). Die Auslieferung wird nicht bewilligt, wenn nach den Rechtsvorschriften des ersuchenden oder des ersuchten Staates die Strafverfolgung oder Strafvollstreckung verjährt ist ( Art. 10 EAUe ; Art. 5 Abs. 1 lit. c IRSG ).</w:t>
      </w:r>
    </w:p>
    <w:p>
      <w:r>
        <w:rPr>
          <w:b/>
        </w:rPr>
        <w:t>E. 2.2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zu entsprechen ist. Der Rechtshilferichter muss namentlich prüfen können, ob ein politisches Delikt vorliegt und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Er ist vielmehr an die Sachverhaltsdarstellung im Ersuchen gebunden, soweit sie nicht durch offensichtliche Fehler, Lücken oder Widersprüche entkräftet wird (vgl. BGE 125 II 250 E. 5b S. 257; BGE 122 II 134 E. 7b S. 137, BGE 122 II 367 E. 2c S. 371, 422 E. 3c S. 431; BGE 120 Ib 251 E. 5c S. 255, je mit Hinweisen).</w:t>
      </w:r>
    </w:p>
    <w:p>
      <w:r>
        <w:rPr>
          <w:b/>
        </w:rPr>
        <w:t>E. 2.3</w:t>
      </w:r>
    </w:p>
    <w:p>
      <w:r>
        <w:t>Art. 12 Ziff. 2 lit. b EAUe bestimmt, dass Zeit, Ort und Umstände der Begehung der fraglichen Delikte so genau wie möglich anzugeben seien. Im vorliegenden Fall weisen die dem Verfolgten BGE 133 IV 76 S. 80 vorgeworfenen Delikte eine starke politische Konnotation auf. Nach der einschlägigen Praxis des Bundesgerichtes sind in solchen Fällen erhöhte Anforderungen an die Ausführlichkeit, Widerspruchsfreiheit und Verlässlichkeit des Ersuchens zu verlangen ( BGE 130 II 337 E. 6.1 S. 345, E. 7.4 S. 348 f. mit Hinweisen; vgl. auch BGE 132 II 81 E. 2.3-2.12 S. 86-93, E. 3.4.4 S. 100 f.). Dem Verfolgten werden Straftaten im Rahmen terroristischer Aktionen der kurdischen separatistischen Organisation PKK zur Last gelegt. Die Aktionen seien ab 1990 und insbesondere im April 1994 erfolgt, als in der Türkei bürgerkriegsähnliche gewalttätige Auseinandersetzungen stattfanden. Im Rahmen der Rechtshilfevoraussetzung der beidseitigen Strafbarkeit muss die Sachdarstellung des Ersuchens namentlich die Prüfung ermöglichen, ob sich die Ermittlungen gegen Schwerverbrecher bzw. terroristische Organisationen im Sinne von Art. 260 ter Ziff. 1 StGB richten ( BGE 130 II 337 E. 6.1 S. 345, E. 7.4 S. 348 f.; s. auch BGE 128 II 355 E. 2.2-2.6 S. 360-363). Entsprechende Abklärungen verlangen regelmässig sachliche Bezugnahmen zum historischen bzw. völkerrechtlich-humanitären Kontext des Konfliktes. Weder darf die internationale Rechtshilfe in Strafsachen zu politischen Zwecken missbraucht werden, noch dürfen Hinweise auf den angeblich politischen Charakter einer Strafverfolgung dazu führen, dass Schwerkriminelle oder Terroristen im Rechtssinne von Strafverfolgung verschont bleiben ( BGE 130 II 337 E. 6.1 S. 345). Es ist Aufgabe des für das Auslieferungsverfahren zuständigen BJ, die entsprechenden sorgfältigen Sachabklärungen zu treffen und dem Bundesgericht ausreichende Entscheidungsgrundlagen zu unterbreiten ( BGE 130 II 337 E. 7.7 S. 350 mit Hinweis).</w:t>
      </w:r>
    </w:p>
    <w:p>
      <w:r>
        <w:rPr>
          <w:b/>
        </w:rPr>
        <w:t>E. 2.4</w:t>
      </w:r>
    </w:p>
    <w:p>
      <w:r>
        <w:t>Das Ersuchen stützt sich auf zwei Haftbefehle türkischer Gerichte vom 21. Januar 2000 und 1. Februar 2005 bzw. auf die sachlich zugehörigen Anklageschriften vom 7. und 24. Dezember 2001, 24. Januar und 9. Mai 2002 (Strafverfahren "Erzurum") sowie vom 4. Februar 2005 (Strafverfahren "Adana").</w:t>
      </w:r>
    </w:p>
    <w:p>
      <w:r>
        <w:rPr>
          <w:b/>
        </w:rPr>
        <w:t>E. 2.4.1</w:t>
      </w:r>
    </w:p>
    <w:p>
      <w:r>
        <w:t>Im angefochtenen Entscheid werden die inkriminierten Sachverhalte im Strafverfahren "Erzurum" wie folgt zusammengefasst: Der Verfolgte habe zwischen April 1990 und August 2001 als bewaffnetes Mitglied der PKK in der Türkei persönlich an verschiedenen Anschlägen teilgenommen. Unter anderem seien am 10. April 1990 eine Person erschossen und ein Haus angezündet worden. Am 4. Mai 1990 habe die PKK bei bewaffneten Auseinandersetzungen (mit Kampfverwicklung des Verfolgten) einen Polizeibeamten getötet. Am 23. BGE 133 IV 76 S. 81 Oktober 1990 sei ein Mordanschlag auf eine Person und ein Brandanschlag auf eine Schule verübt worden. Am 6. August und 1. Oktober 1991 seien Brandanschläge auf eine Rundfunkstation bzw. auf eine Schule erfolgt. Bei einem Hinterhalt gegen einen militärischen Geleitzug habe die PKK am 4. Mai 1992 sieben Soldaten bzw. Beamte getötet. Am 21. Mai 1992 seien bei einem Brandanschlag auf eine Rundfunkstation zwei Personen erschossen worden, am 25. Juli 1992 eine weitere Person entführt und getötet. Im Oktober 1992 sei der Verfolgte als Mitglied der PKK an einem Strassenraub auf einen Reisebus beteiligt gewesen. Zwischen Juni und Juli 1993 habe er sich an folgenden Anschlägen der PKK beteiligt: Legen eines Hinterhalts gegen ein militärisches Fahrzeug und Erschiessen von sechs Soldaten; Entführung von zwei Personen und Erschiessen dieser Personen; Entführung und Tötung einer Person; bewaffneter Überfall auf ein Dorf und Tötung von drei Personen. Anfang September 1993 sei von den Verantwortlichen der PKK eine weitere Schule angezündet worden. Am 28. Oktober 1993 hätten sie einen bewaffneten Überfall auf ein Dorf verübt, sieben Personen erschossen und 14 Häuser verbrannt (vgl. Anklageschriften vom 7. Dezember 2001 und 24. Januar 2002). Dem Verfolgten wird sodann vorgeworfen, er habe am 30. April 1994 als Mitglied der PKK vier weiteren Mitgliedern dieser Organisation den Auftrag erteilt, einen sogenannten Dorfwächter zu töten (vgl. Anklageschrift vom 9. Mai 2002). Am 1. Juli 1994 hätten PKK-Aktivisten mit Beteiligung des Verfolgten ein weiteres Dorf überfallen und 240 Nutztiere geraubt. Am 25. August 1995 sei ein Kind entführt und gegen Lösegeld wieder freigelassen worden. Hinzu kämen noch weitere Straftaten (vgl. Anklageschriften vom 7. und 24. Dezember 2001).</w:t>
      </w:r>
    </w:p>
    <w:p>
      <w:r>
        <w:rPr>
          <w:b/>
        </w:rPr>
        <w:t>E. 2.4.2</w:t>
      </w:r>
    </w:p>
    <w:p>
      <w:r>
        <w:t>Die Sachdarstellung des Ersuchens im Strafverfahren "Adana" wird im angefochtenen Entscheid wie folgt zusammengefasst: Der Verfolgte wird verdächtigt, Mitglied der PKK und der PKK-Kongra-Gel gewesen zu sein, wobei er namentlich mit der Führung von bestimmten Aktionen beauftragt gewesen sei (vgl. Anklageschrift vom 4. Februar 2005).</w:t>
      </w:r>
    </w:p>
    <w:p>
      <w:r>
        <w:rPr>
          <w:b/>
        </w:rPr>
        <w:t>E. 2.5</w:t>
      </w:r>
    </w:p>
    <w:p>
      <w:r>
        <w:t>Das BJ kommt im angefochtenen Entscheid zum Ergebnis, dass alle inkriminierten Sachverhalte des Strafverfahrens "Erzurum" - mit Ausnahme des Sachverhaltes vom 30. April 1994 (Anklageschrift vom 9. Mai 2002) - entweder bereits verjährt oder von der ersuchenden Behörde nicht ausreichend konkretisiert worden seien. Auch die Sachdarstellung des Ersuchens im Strafverfahren "Adana" (Anklageschrift vom 4. Februar 2005) sei selbst nach einer entsprechenden Rückfrage zu wenig konkret für eine Prüfung der Auslieferungsvoraussetzung der doppelten Strafbarkeit im Sinne der bundesgerichtlichen Rechtsprechung. Namentlich fehlten Hinweise auf BGE 133 IV 76 S. 82 die konkrete Rolle des Verfolgten im Zusammenhang mit den einzelnen Straftaten.</w:t>
      </w:r>
    </w:p>
    <w:p>
      <w:r>
        <w:rPr>
          <w:b/>
        </w:rPr>
        <w:t>E. 2.6</w:t>
      </w:r>
    </w:p>
    <w:p>
      <w:r>
        <w:t>Der Anklageschrift vom 9. Mai 2002 ist folgende Sachdarstellung zu entnehmen: Am 30. April 1994 hätten vier Angehörige der PKK auf Anweisung des Verfolgten das Dorf Kayalisu (im Gebiet der Kreisstadt Senkaya) aufgesucht und dort den "Dorfshüter" Y. getötet. Die Beteiligten hätten diesem sogenannten Dorfwächter vorgeworfen, er habe Angehörige der PKK bei den türkischen Sicherheitskräften angezeigt. Gemäss der Anweisung des Verfolgten hätten die vier Haupttäter den Dorfwächter in seinem Haus aufgesucht, ihn mitgenommen, zur Einfahrtseite des Dorfes gebracht, seine Hände festgebunden und ihn dann getötet. An den Kragen seines Hemdes hätten sie eine Notiz angebracht, wonach Personen, die die Guerillas anzeigen, der Tod drohe. Neben die Leiche des Opfers sei ausserdem ein Geldschein von 10'000.- türkischen Pfund gelegt worden. Der Verfolgte habe die Anweisung zu dieser Exekution als Gruppenführer der PKK erteilt. Als Beweismittel nennt die Anklageschrift unter anderem den Obduktionsbericht, das polizeiliche Augenscheinsprotokoll, Sachverständigengutachten sowie Beweisaussagen eines weiteren mutmasslichen PKK-Angehörigen.</w:t>
      </w:r>
    </w:p>
    <w:p>
      <w:r>
        <w:rPr>
          <w:b/>
        </w:rPr>
        <w:t>E. 2.7</w:t>
      </w:r>
    </w:p>
    <w:p>
      <w:r>
        <w:t>Wer vorsätzlich einen Menschen tötet, wird nach schweizerischem Recht mit Freiheitsstrafe nicht unter fünf Jahren bestraft ( Art. 111 StGB ). Mittäter ist, wer sogenannte "Tatherrschaft" ausübt, d.h. wer bei der Entschliessung, Planung oder Ausführung eines Deliktes vorsätzlich und in massgebender Weise mit anderen Tätern zusammenwirkt, so dass er als Hauptbeteiligter dasteht. Der Tatbeitrag begründet Tatherrschaft, wenn er "nach den Umständen des konkreten Falles und dem Tatplan für die Ausführung des Deliktes so wesentlich ist, dass sie mit ihm steht oder fällt" ( BGE 130 IV 58 E. 9.2.1 S. 66; BGE 126 IV 84 E. 2c/aa S. 88 mit Hinweisen; zum Mittäterschaftsbegriff vgl. auch ANDREAS DONATSCH/BRIGITTE TAG, Strafrecht I, Verbrechenslehre, 8. Aufl., Zürich 2006, S. 166 ff.; MARC FORSTER, Basler Kommentar, StGB, Bd. I, Basel 2003, vor Art. 24 StGB N. 7 ff.; GÜNTER STRATENWERTH, Schweizerisches Strafgesetzbuch, Allgemeiner Teil I, 3. Aufl., Bern 2005, § 13 Rz. 59 ff.; STEFAN TRECHSEL/PETER NOLL, Schweizerisches Strafrecht, Allgemeiner Teil I, 6. Aufl., Zürich 2004, S. 200 ff.). Anstiftung begeht, wer jemanden zu dem von ihm verübten Verbrechen oder Vergehen vorsätzlich bestimmt hat. Der Anstifter wird nach der Strafdrohung, die BGE 133 IV 76 S. 83 auf den Täter Anwendung findet, bestraft ( Art. 24 Abs. 1 StGB ; vgl. dazu BGE 128 IV 11 E. 2a S. 15; BGE 127 IV 122 E. 1 S. 125, E. 4a S. 130 f., je mit Hinweisen; DONATSCH/TAG, a.a.O., S. 147 ff.; FORSTER, a.a.O., vor Art. 24 StGB N. 36, Art. 24 StGB N. 3 ff.; STRATENWERTH, a.a.O., § 13 Rz. 95 ff.; TRECHSEL/NOLL, a.a.O., S. 210 ff.).</w:t>
      </w:r>
    </w:p>
    <w:p>
      <w:r>
        <w:rPr>
          <w:b/>
        </w:rPr>
        <w:t>E. 2.8</w:t>
      </w:r>
    </w:p>
    <w:p>
      <w:r>
        <w:t>Im Falle einer Verurteilung nach schweizerischem Recht fiele der Sachverhalt gemäss Anklageschrift vom 9. Mai 2002 grundsätzlich unter den Tatbestand der Anstiftung (allenfalls der intellektuellen Mittäterschaft) zu vorsätzlicher Tötung (Art. 111 i.V.m. Art. 24 Abs. 1 StGB ). Was der Verfolgte dagegen einwendet, vermag die dargelegten Verdachtsgründe nicht ohne Weiteres zu entkräften: Zwar macht er geltend, in den diversen Rechtshilfeunterlagen gebe es widersprüchliche zeitliche und sachliche Angaben. Wie der Verfolgte selbst darlegt, betreffen diese jedoch nicht die Anklageschrift vom 9. Mai 2002 (Tötung eines Dorfwächters am 30. April 1994 in Kayalisu), sondern ein anderes untersuchtes Tötungsdelikt (vom 4. Mai 1992 an einem Polizeibeamten in Yukaridut), zu dessen Verfolgung im angefochtenen Entscheid die Auslieferung verweigert wurde. Analoges gilt für weitere angebliche Ungenauigkeiten. Unbehelflich ist in diesem Zusammenhang auch der Hinweis, der Mitangeklagte "Mehmet S." (recte: Metin S.) habe zu Protokoll gegeben, seine belastenden Aussagen seien unter Zwang erfolgt. Der Verfolgte weist selbst darauf hin, dass sich der gemäss Anklageschrift vom 9. Mai 2002 erhobene Vorwurf auf die Aussage eines Zinnar M. stützt. Der Verfolgte räumt ein, dass ihm in der Anklageschrift vom 9. Mai 2002 der Vorwurf der Anstiftung zur Tötung gemacht wird. Zwar wendet er ein, der betreffende Sachverhalt lasse sich nicht unter Art. 260 ter StGB subsumieren (und die betreffende Strafnorm sei im April 1994 noch gar nicht in Kraft gewesen). Diese Fragen brauchen jedoch nicht zusätzlich geprüft zu werden, da der Grundsatz der beidseitigen Strafbarkeit ( Art. 2 Ziff. 1 EAUe ) nicht verlangt, dass der inkriminierte Sachverhalt unter mehrere Strafnormen des ersuchten Staates fällt ( BGE 132 II 81 E. 2.7.2 S. 90 f.; BGE 131 II 235 E. 2.14 S. 243; BGE 128 II 355 E. 2.6 S. 363). Auch die Verfolgungsverjährung (von 15 Jahren) des Tötungsdeliktes vom 30. April 1994 ist noch nicht eingetreten (aArt. 70 Abs. 1 lit. b und nArt. 97 Abs. 1 lit. b i.V.m. Art. 111 und Art. 24 Abs. 1 StGB ). Die weiteren Einwände des Verfolgten begründen in diesem Zusammenhang kein Auslieferungshindernis. BGE 133 IV 76 S. 84</w:t>
      </w:r>
    </w:p>
    <w:p>
      <w:r>
        <w:rPr>
          <w:b/>
        </w:rPr>
        <w:t>E. 2.9</w:t>
      </w:r>
    </w:p>
    <w:p>
      <w:r>
        <w:t>Die Sachdarstellung zum untersuchten Tötungsdelikt vom 30. April 1994 genügt den Anforderungen von Art. 12 EAUe . Die übrigen Vorwürfe sind entweder bereits verjährt ( Art. 10 EAUe ) oder sie wurden im Ersuchen und seinen Ergänzungen im Sinne der dargelegten Praxis (vgl. E. 2.2-2.3) nicht ausreichend konkretisiert. Diesbezüglich kann sowohl auf die zutreffenden Erwägungen des angefochtenen Auslieferungsentscheides verwiesen werden als auch auf die Vorbringen des Verfolgten. Unter dem Gesichtspunkt der beidseitigen Strafbarkeit (Art. 2 Ziff. 1 i.V.m. Art. 10 und Art. 12 EAUe ) ist eine Auslieferung für den in der Anklageschrift vom 9. Mai 2002 dargestellten Sachverhalt (Teilnahme am Tötungsdelikt vom 30. April 1994) somit grundsätzlich zulässig. Die Begrenzung des Sachverhaltes, für den die Auslieferung bewilligt werden kann, erfolgt nach dem Grundsatz der Spezialität ( Art. 14 Ziff. 1 EAUe ). Dieser soll sicherstellen, dass der ersuchende Staat im Falle der Auslieferung ausschliesslich jenen Sachverhalt zur Anklage bringt, der gemäss Art. 2 Ziff. 1 EAUe auch nach schweizerischem Strafrecht strafbar wäre. Eine allfällige Ausdehnung des Anklagesachverhaltes wäre nur mit ausdrücklicher Zustimmung der schweizerischen Behörden zulässig ( Art. 14 Ziff. 1 lit. a EAUe ; vgl. BGE 131 II 235 E. 2.14 S. 243 f.).</w:t>
      </w:r>
    </w:p>
    <w:p>
      <w:r>
        <w:rPr>
          <w:b/>
        </w:rPr>
        <w:t>E. 3</w:t>
      </w:r>
    </w:p>
    <w:p>
      <w:r>
        <w:t>(...)</w:t>
      </w:r>
    </w:p>
    <w:p>
      <w:r>
        <w:rPr>
          <w:b/>
        </w:rPr>
        <w:t>E. 3.8</w:t>
      </w:r>
    </w:p>
    <w:p>
      <w:r>
        <w:t>Im Lichte der Praxis des Bundesgerichtes können die gegen den Verfolgten erhobenen Vorwürfe nicht als rein politisch oder rassisch motiviert eingestuft werden. Dem Verfolgten wird die massgebliche Beteiligung (Anstiftung, eventuell Mittäterschaft) an der Tötung eines sogenannten "Dorfwächters" zur Last gelegt. Dieser sei aus Vergeltung erschossen worden, weil er Angehörige der PKK bei den türkischen Sicherheitskräften angezeigt habe. Bei schweren Gewaltverbrechen, namentlich Tötungsdelikten, ist der politische Charakter des Deliktes in der Regel zu verneinen. Im vorliegenden Fall rechtfertigt sich keine Ausnahme von dieser Praxis. Dabei ist auch der Gesamtkontext des Falles mitzuberücksichtigen. Zwar sind die übrigen untersuchten Delikte (zu deren Verfolgung keine Auslieferung gewährt werden kann) entweder bereits verjährt oder sie wurden von der ersuchenden Behörde zu wenig konkretisiert. Nicht zu übersehen ist jedoch, dass dem Verfolgten von der Türkei die persönliche Beteiligung an einer Vielzahl von schweren Verbrechen vorgeworfen wird, denen über mehrere Jahre hinweg nicht zuletzt zahlreiche Zivilpersonen zum Opfer gefallen seien (vgl. dazu oben, BGE 133 IV 76 S. 85 E. 2.4.1). Selbst in bürgerkriegsähnlichen Auseinandersetzungen handelt es sich dabei nicht mehr um angemessene oder wenigstens einigermassen verständliche Mittel des gewalttätigen Widerstands gegen die geltend gemachte ethnische Verfolgung und Unterdrückung ( BGE 131 II 235 E. 3.2-3.3 S. 245 f.; BGE 130 II 337 E. 3.2-3.3 S. 343 f.; BGE 128 II 355 E. 4.2 S. 365, je mit Hinweisen; vgl. auch MARC Forster, Zur Abgrenzung zwischen Terroristen und militanten "politischen" Widerstandskämpfern im internationalen Strafrecht, ZBJV 141/2005 S. 213 ff., 236-238; derselbe , Terroristischer Massenmord an Zivilisten als "legitimer Freiheitskampf" kraft "Analogieverbot"?, ZStrR 124/2006 S. 331 ff., 333; HANS VEST, Berner Kommentar StGB, Bern 2007, N. 26 und 27 zu Art. 260 quinquies StGB ). Angriffe, die unterschiedslos auch Unbeteiligte bzw. Zivilisten tref fen, sind bereits durch Art. 51 Ziff. 4 des I. Zusatzprotokolls zu den Genfer Abkommen vom 12. August 1949 über den Schutz der Opfer internationaler bewaffneter Konflikte (SR 0.518.521) - auch im sogenannten "Befreiungskampf" - absolut verboten (vgl. STEFAN OETER, Kampfmittel und Kampfmethoden in bewaffneten Konflikten und ihre Vereinbarkeit mit dem humanitären Völkerrecht, in: J. Hasse et al. [Hrsg.], Humanitäres Völkerrecht, Baden-Baden 2001, S. 86 ff.; HANS VEST, Terrorismus als Herausforderung des Rechts, St. Galler Schriften zur Rechtswissenschaft, Bd. 12, Zürich 2005, S. 53). Es kommt hier hinzu, dass der Verfolgte einräumt, seit dem 6. Mai 1989 für die PKK tätig gewesen zu sein. Im Jahre 1995 sei er als Mitglied des Zentralkomitees gewählt worden. Wie sich dem Bericht des für Analyse und Prävention des Bundesamtes für Polizei vom 8. März 2006 entnehmen lässt, sei die radikale kurdische Widerstandsorganisation PKK schon ab 1993 von Deutschland als terroristische Vereinigung eingestuft und verboten worden; weitere europäische Staaten und die USA hätten ähnliche Verbote erlassen. In der massgeblichen Anklageschrift vom 9. Mai 2002 wird dem Verfolgten substantiiert vorgeworfen, er habe auch noch nach 1993 (nämlich Ende April 1994) tödliche Attentate durch PKK-Kämpfer persönlich angeordnet (vgl. dazu oben, E. 2.6).</w:t>
      </w:r>
    </w:p>
    <w:p>
      <w:r>
        <w:rPr>
          <w:b/>
        </w:rPr>
        <w:t>E. 3.9</w:t>
      </w:r>
    </w:p>
    <w:p>
      <w:r>
        <w:t>Nach dem Gesagten ist die Einrede des politischen Deliktes abzuweisen.</w:t>
      </w:r>
    </w:p>
    <w:p>
      <w:r>
        <w:rPr>
          <w:b/>
        </w:rPr>
        <w:t>E. 4</w:t>
      </w:r>
    </w:p>
    <w:p>
      <w:r>
        <w:t>Schliesslich macht der Verfolgte geltend, er habe als Kurde und PKK-Angehöriger für eine Abspaltung der kurdischen Gebiete von der Türkei gekämpft. Im Falle einer Auslieferung sei er aufgrund BGE 133 IV 76 S. 86 seiner "politischen Arbeit" der Gefahr von Folterungen ausgesetzt. Nach einem Türkeibericht von "Amnesty International" aus dem Jahr 2005 würden Folterungen und Misshandlungen im Gewahrsam der Polizei und der Gendarmerie nach wie vor Anlass zu grosser Sorge geben. Ähnliches ergebe sich aus einem Gutachten der "Schweizerischen Flüchtlingshilfe" und einem Bericht der "Human Rights Watch". Ein niederländisches Gericht habe im Januar 2005 die Auslieferung einer hochrangigen PKK-Exponentin an die Türkei verweigert. Im Falle einer Auslieferung müsse er, der Verfolgte, mit Einzelhaft bzw. menschenrechtswidriger Isolationshaft rechnen. Die von der Türkei abgegebenen Garantieerklärungen seien inhaltlich und formal ungenügend. Die betreffenden Erklärungen trügen weder einen amtlichen Stempel noch eine Unterschrift.</w:t>
      </w:r>
    </w:p>
    <w:p>
      <w:r>
        <w:rPr>
          <w:b/>
        </w:rPr>
        <w:t>E. 4.1</w:t>
      </w:r>
    </w:p>
    <w:p>
      <w:r>
        <w:t>Die Schweiz prüft die Auslieferungsvoraussetzungen des EAUe auch im Lichte ihrer grundrechtlichen völkerrechtlichen Verpflichtungen. Nach internationalem Völkerrecht sind Folter und jede andere Art grausamer, unmenschlicher oder erniedrigender Behandlung oder Bestrafung verboten ( Art. 10 Abs. 3 BV , Art. 3 EMRK , Art. 7 und 10 Ziff. 1 des Internationalen Paktes vom 16. Dezember 1966 über bürgerliche und politische Rechte [UNO-Pakt II; SR 0.103.2]). Niemand darf in einen Staat ausgeliefert werden, in dem ihm Folter oder eine andere Art grausamer und unmenschlicher Behandlung oder Bestrafung droht ( Art. 25 Abs. 3 BV ; vgl. BGE 123 II 161 E. 6a S. 167, BGE 123 II 511 E. 5a S. 517, je mit Hinweisen). Auch behält sich die Schweiz die Verweigerung von Rechtshilfe vor, wenn im ersuchenden Staat die Respektierung eines vom internationalen Ordre public anerkannten Minimalstandards an Verfahrensrechten nicht gewährleistet erscheint (vgl. BGE 126 II 324 E. 4 S. 326 ff.).</w:t>
      </w:r>
    </w:p>
    <w:p>
      <w:r>
        <w:rPr>
          <w:b/>
        </w:rPr>
        <w:t>E. 4.2</w:t>
      </w:r>
    </w:p>
    <w:p>
      <w:r>
        <w:t>Im angefochtenen Entscheid wird erwogen, die Türkei sei ein langjähriges Mitglied des Europarates und habe die EMRK und den UNO-Pakt II ratifiziert. Grundsätzlich sei festzuhalten, dass die Schweiz, so wie andere Staaten auch, in der Regel ohne Einholung von Garantien verfolgte Personen an die Türkei ausliefere. Das BJ verweist diesbezüglich auf den "BGE 1A.215/2000 vom 16. Oktober 2000". Das Bundesamt habe von der Türkei hier dennoch die Abgabe von Garantien in ausdrücklicher Form verlangt. Die türkische Botschaft habe am 4. Juli 2006 zugesichert, dass der Verfolgte Besuche aus seinem Familien- bzw. Bekanntenkreis empfangen und dass er einen uneingeschränkten bzw. unbewachten Kontakt zu seinem Rechtsanwalt pflegen dürfe. Diese Garantien seien BGE 133 IV 76 S. 87 glaubwürdig und reichten aus, um korrekte Haftbedingungen und die Durchführung eines fairen Verfahrens gegen den Verfolgten sicherzustellen. Das BJ begründet diese Auffassung mit dem Argument, der Auslieferungsverkehr zwischen der Türkei und der Schweiz verlaufe "grundsätzlich unproblematisch". In den vergangenen Jahren habe die Schweiz mehrere Personen ohne entsprechende Garantien an die Türkei ausgeliefert. Dass die Türkei zur Abgabe von Garantien im Einzelfall bereit sei, erscheine "hingegen neu". Dieses Entgegenkommen der Türkei gehe einerseits auf verschiedene bilaterale politische und technische Konsultationen zwischen der Schweiz und der Türkei zurück, stelle anderseits aber nach den Wahrnehmungen des BJ auch ein Novum im Verkehr mit anderen Staaten dar. Auch im vorliegenden Fall hätten die türkischen Behörden die von der Schweiz verlangten Garantien erst nur zögerlich abgegeben. "Schon daraus" lasse sich schliessen, dass die Türkei zu deren Einhaltung gewillt sei.</w:t>
      </w:r>
    </w:p>
    <w:p>
      <w:r>
        <w:rPr>
          <w:b/>
        </w:rPr>
        <w:t>E. 4.3</w:t>
      </w:r>
    </w:p>
    <w:p>
      <w:r>
        <w:t>Aktuelle Berichte des Europäischen Folterschutzausschusses sowie von türkischen, schweizerischen und internationalen Menschenrechtsorganisationen weisen immer noch auf dokumentierte Folterfälle hin, vor allem in den südöstlichen Provinzen der Türkei und gegen mutmassliche kurdische Aktivisten. In einem bei den Rechtshilfeakten befindlichen Bericht an das BJ vom 20. Juni 2006 zur aktuellen Menschenrechtssituation in der Türkei weist das Eidgenössische Departement für Auswärtige Angelegenheiten (EDA) zwar auf Fortschritte bei der Implementierung rechtsstaatlicher Grundsätze und Verfahren in der Türkei hin. Es konstatiert aber auch gewisse anhaltende Probleme bei der praktischen Umsetzung des Menschenrechtsschutzes, insbesondere im Bereich der Kurdenfrage. Das Risiko von Folterungen oder erniedrigender Behandlung könne nach Ansicht des EDA im Fall von mutmasslichen Terroristen nicht ganz ausgeschlossen werden. Zwar gebe es Fortschritte im Menschenrechtsbereich, welche weitgehend auf die EU-Beitrittsverhandlungen zurückzuführen seien und vor allem die Gesetzgebung beträfen. Dadurch sei auch der Kampf gegen Folter und erniedrigende Behandlung grundsätzlich gestärkt worden. Dazu gehörten zum Beispiel das unverzügliche Recht auf einen Anwalt, das Recht zu schweigen und Verbesserungen im Bereich der Rechtshilfe. Was die praktische Umsetzung dieser Neuerungen betrifft, habe die Türkei jedoch längst nicht alles Erforderliche unternommen. Während sich das Bewusstsein der Notwendigkeit rechtsstaatlichen Vorgehens im Justizbereich BGE 133 IV 76 S. 88 generell gefestigt habe, sei dies in heiklen Bereichen wie zum Beispiel der Kurdenfrage, des Terrorismus oder des Linksextremismus noch unzureichend der Fall. Folter und erniedrigende Behandlung seien vorwiegend während Demonstrationen, Polizeieinsätzen oder dem Transport von Häftlingen festzustellen, also ausserhalb von Strafanstalten. Die Straflosigkeit bei Folterfällen bleibe ein grosses Problem. Das Risiko von Folterungen oder erniedrigender Behandlung könne nicht ganz ausgeschlossen werden, insbesondere im Fall von mutmasslichen Terroristen.</w:t>
      </w:r>
    </w:p>
    <w:p>
      <w:r>
        <w:rPr>
          <w:b/>
        </w:rPr>
        <w:t>E. 4.4</w:t>
      </w:r>
    </w:p>
    <w:p>
      <w:r>
        <w:t>Zwar sind die genannten Berichte über Fälle von Menschenrechtsverletzungen in der Türkei nicht leicht zu nehmen. Sie rechtfertigen jedoch im vorliegenden Fall nicht zum Vornherein den Ausschluss jeglicher Rechtshilfe auch auf dem Wege der Auslieferung. Solches wäre mit dem Sinn und Geist des Europäischen Auslieferungsübereinkommens und des Übereinkommens zur Bekämpfung des Terrorismus (EÜBT; SR 0.353.3) nicht vereinbar: Einerseits muss es auch Vertragsstaaten, die eine dramatische Bürgerkriegsgeschichte zu bewältigen haben und die noch nicht auf eine gefestigte und lange rechtsstaatliche Tradition zurückblicken können, grundsätzlich ermöglicht werden, zur Verfolgung von schweren Verbrechen bzw. terroristischen Anschlägen internationale Rechtshilfe zu erhalten. Anderseits darf die Rechtshilfe weder zu politischen Zwecken missbraucht werden, noch ihrerseits schweren Menschenrechtsverletzungen Vorschub leisten (vgl. BGE 130 II 337 E. 6.1 S. 345). In politisch und völkerrechtlich schwierigen Fällen wie dem vorliegenden, bei denen die Auslieferungsvoraussetzungen des EAUe grundsätzlich erfüllt erscheinen, ist daher nach der Praxis des Bundesgerichtes ein grosses Gewicht auf wirksame und überprüfbare Menschenrechtsgarantien zu legen (vgl. BGE 123 II 161 E. 6 S. 172 f., BGE 123 II 511 E. 6c S. 522 f.; BGE 122 II 373 E. 2d S. 380; Urteil 1A.4/2005 vom 28. Februar 2005, E. 4.3-4.6 nicht publ. in BGE 131 II 235 ).</w:t>
      </w:r>
    </w:p>
    <w:p>
      <w:r>
        <w:rPr>
          <w:b/>
        </w:rPr>
        <w:t>E. 4.5</w:t>
      </w:r>
    </w:p>
    <w:p>
      <w:r>
        <w:t>Bei heiklen Konstellationen wie im vorliegenden Fall bestehen die schweizerischen Behörden beim ersuchenden Staat regelmässig auf förmlichen Garantieerklärungen bezüglich der Einhaltung der Grund- und Menschenrechte. In Auslieferungsfällen, auf die das EAUe anwendbar ist, kann der ersuchende Staat im konkreten Einzelfall zur Einhaltung bestimmter Verfahrensgarantien als Bedingung für eine Auslieferung ausdrücklich verpflichtet werden. Dies gilt namentlich für die Zulassung unangemeldeter Haftbesuche und die Beobachtung des Strafverfahrens durch Vertreter der Botschaft des BGE 133 IV 76 S. 89 ersuchten Staates (Urteil 1A.4/2005 vom 28. Februar 2005, E. 4.3 nicht publ. in BGE 131 II 235 ; Urteil 1A.149/2004 vom 20. Juli 2004, E. 4.3; s. auch BGE 123 II 161 E. 6 S. 172 f., BGE 123 II 511 E. 6c S. 522 f.).</w:t>
      </w:r>
    </w:p>
    <w:p>
      <w:r>
        <w:rPr>
          <w:b/>
        </w:rPr>
        <w:t>E. 4.5.1</w:t>
      </w:r>
    </w:p>
    <w:p>
      <w:r>
        <w:t>Im bereits erwähnten BGE 122 II 373 E. 2d S. 380 knüpfte das Bundesgericht die Auslieferung an folgende Bedingungen: (...) de subordonner l'extradition du recourant à des assurances de l'Etat requérant, garantissant le droit de l'Ambassade suisse à Ankara de rendre régulièrement et librement visite au recourant durant sa détention préventive et d'être tenue informée, par l'autorité compétente, du lieu et des conditions de détention du recourant, ainsi que de son état de santé. De même, le recourant devra pouvoir s'adresser librement à l'Ambassade de Suisse, qui sera aussi autorisée à suivre librement, le cas échéant, l'audience de jugement et à y déléguer des observateurs. Ces mesures devraient suffire pour parer aux dangers que redoute le recourant. Elles ne sont pas pour le surplus inhabituelles, la Suisse ayant déjà par le passé subordonné l'extradition - notamment à la Turquie - à des garanties semblables (cf. les arrêts G., précité, B., du 10 juillet 1991 et S., du 10 juillet 1987).</w:t>
      </w:r>
    </w:p>
    <w:p>
      <w:r>
        <w:rPr>
          <w:b/>
        </w:rPr>
        <w:t>E. 4.5.2</w:t>
      </w:r>
    </w:p>
    <w:p>
      <w:r>
        <w:t>In BGE 131 II 235 wurde die Auslieferung eines terrorismusverdächtigen Kosovo-Albaners an Serbien und Montenegro bewilligt. Serbien hatte unter anderem die förmliche Garantie abgegeben, dass Vertreter der eidgenössischen Behörden den Verfolgten nach dessen Auslieferung ohne jegliche Überwachungsmassnahmen besuchen könnten. Der Verfolgte habe auch jederzeit das Recht, sich an diese Personen zu wenden. Die Vertreter der schweizerischen Behörden seien ermächtigt, sich über den Verfahrensstand zu erkundigen und an den Gerichtsverhandlungen teilzunehmen. Das Bundesgericht erwog (in der nicht amtlich publizierten E. 4.6) Folgendes: Im vorliegenden Fall hat das BJ in enger Zusammenarbeit mit dem EDA sicherzustellen, dass die Haftbedingungen des Beschwerdeführers und der gegen ihn geführte Strafprozess vor Ort durch die schweizerische diplomatische Vertretung in Belgrad aufmerksam beobachtet werden und dass den oben genannten Garantieerklärungen nötigenfalls Nachachtung verschafft wird. Zu diesem Zweck müssen die schweizerischen Vertreter vereinbarungsgemäss jederzeit Zugang zum inhaftierten Verfolgten erhalten und mit diesem unbeaufsichtigt sprechen können. Ein entsprechender Hinweis ist in das Dispositiv des Auslieferungsentscheides aufzunehmen.</w:t>
      </w:r>
    </w:p>
    <w:p>
      <w:r>
        <w:rPr>
          <w:b/>
        </w:rPr>
        <w:t>E. 4.5.3</w:t>
      </w:r>
    </w:p>
    <w:p>
      <w:r>
        <w:t>Ähnliche Garantien waren (in BGE 123 II 161 E. 6 S. 172 f., BGE 123 II 511 E. 6c S. 522 f.) auch schon für politisch und menschenrechtlich heikle Auslieferungen an Russland bzw. Kasachstan verlangt worden. BGE 133 IV 76 S. 90</w:t>
      </w:r>
    </w:p>
    <w:p>
      <w:r>
        <w:rPr>
          <w:b/>
        </w:rPr>
        <w:t>E. 4.5.4</w:t>
      </w:r>
    </w:p>
    <w:p>
      <w:r>
        <w:t>Im Urteil 1A.149/2004 vom 20. Juli 2004 war eine Auslieferung an Albanien zu prüfen. In jenem Fall hatte schon das BJ entschieden, dass die Auslieferung nur unter der Bedingung erfolge, dass die albanische Botschaft eine Garantie abgibt, wonach bei einem Strafverfahren und einem allfälligen Strafvollzug in Albanien die Grundsätze der EMRK bzw. des UNO-Pakts II beachtet werden, der Verfolgte jederzeit mit der schweizerischen Vertretung Kontakt aufnehmen und ein Vertreter der Botschaft oder eine von der Botschaft bezeichnete Person jederzeit den Verfolgten besuchen und sämtlichen Verhandlungen beiwohnen kann.</w:t>
      </w:r>
    </w:p>
    <w:p>
      <w:r>
        <w:rPr>
          <w:b/>
        </w:rPr>
        <w:t>E. 4.6</w:t>
      </w:r>
    </w:p>
    <w:p>
      <w:r>
        <w:t>Was die Praxis zur Einholung von Menschenrechtsgarantien betrifft, kann somit den Erwägungen im angefochtenen Entscheid des BJ nicht gefolgt werden. In Fällen wie dem vorliegenden stellen wirksame ausdrückliche Menschenrechtsgarantien keineswegs ein ungewöhnliches Novum dar. Dies gilt weder im Rechtshilfeverkehr mit der Türkei, noch mit anderen Staaten, die eine Bürgerkriegsvergangenheit, dramatische politische Umwälzungen oder eine schwierige Menschenrechtssituation zu bewältigen haben. Der vom BJ in diesem Zusammenhang ausdrücklich zitierte (nicht amtlich publizierte) Entscheid 1A.215/2000 vom 16. Oktober 2000 ist nicht einschlägig. Er betraf einen gemeinstrafrechtlichen Fall, nämlich einen Verfolgten, dem Hehlerei bzw. die illegale Ausfuhr von Kulturgütern zur Last gelegt wurde. In heiklen politisch konnotierten Fällen, wie dem hier zu beurteilenden, legt die publizierte und mehrfach bestätigte Praxis des Bundesgerichtes ein grosses Gewicht auf die Einholung von wirksamen und überprüfbaren Menschenrechtsgarantien.</w:t>
      </w:r>
    </w:p>
    <w:p>
      <w:r>
        <w:rPr>
          <w:b/>
        </w:rPr>
        <w:t>E. 4.7</w:t>
      </w:r>
    </w:p>
    <w:p>
      <w:r>
        <w:t>Wie sich aus den Rechtshilfeakten ergibt, ersuchte das BJ die türkische Botschaft am 27. März 2006 um die Abgabe von Garantien. Ihrer Antwort vom 5. April 2006 legte die türkische Botschaft eine Notiz bei. Diese Notiz ist weder datiert, noch mit einer Unterschrift versehen. Sie trägt die Überschrift "Extraits de la correspondance du Ministère de la Justice de la République de Turquie concernant X." und enthält allgemeine Ausführungen zum türkischen Recht. Mit Schreiben vom 22. Juni 2006 verlangte das BJ die Abgabe von Zusicherungen in ausdrücklicher Form. Am 4. Juli 2006 übermittelte die türkische Botschaft ausdrückliche Garantieerklärungen. Darin sichert die Türkei zu, dass im Strafverfahren gegen den Verfolgten die Grundrechte der EMRK und des UNO-Paktes II eingehalten würden. Während der gesamten Haftdauer habe der Verfolgte (ohne BGE 133 IV 76 S. 91 Überwachung und Einschränkung) das Recht, einen Anwalt seiner Wahl zu kontaktieren. Ausserdem erhalte er die Möglichkeit, im Gefängnis Besuche aus seinem Familien- und allenfalls aus seinem Bekanntenkreis zu empfangen. Ferner werde der Verfolgte nicht vor einem Ausnahmegericht angeklagt, und seine physische und psychische Integrität werde respektiert. Seine Haftbedingungen würden nicht aus politischen, religiösen oder rassischen Gründen erschwert und hielten den Anforderungen von Art. 3 EMRK stand. Ausserdem werde der Verfolgte nicht aus politischen Motiven angeklagt oder verurteilt; ebenso wenig erfolge aus solchen Motiven eine Strafschärfung.</w:t>
      </w:r>
    </w:p>
    <w:p>
      <w:r>
        <w:rPr>
          <w:b/>
        </w:rPr>
        <w:t>E. 4.8</w:t>
      </w:r>
    </w:p>
    <w:p>
      <w:r>
        <w:t>Die vom BJ eingeholten Garantien sind unzureichend und entsprechen nicht der dargelegten einschlägigen Rechtsprechung. Im vorliegenden Fall ist die Auslieferung praxisgemäss von folgenden zusätzlichen Garantien abhängig zu machen: Der schweizerischen Botschaft in Ankara ist das Recht zuzusichern, Vertreter zu bezeichnen, die den Verfolgten nach dessen Auslieferung ohne Überwachungsmassnahmen jederzeit besuchen können. Ebenso dürfen diese Vertreter sich jederzeit über den Verfahrensstand erkundigen sowie an sämtlichen Gerichtsverhandlungen teilnehmen. Der Verfolgte hat jederzeit das Recht, sich an diese Vertreter zu wenden. Vor einem allfälligen Vollzug der Auslieferung muss das BJ eine entsprechende ausdrückliche Garantieerklärung bei der ersuchenden Behörde einholen. Der angefochtene Entscheid ist im Sinne einer solchen zusätzlichen Auslieferungsbedingung zu ergänzen. Die Prozessbeobachtung durch schweizerische Behördenvertreter hat im vorliegenden Fall auch sicherzustellen, dass dem Grundsatz der Spezialität ( Art. 14 Ziff. 1 EAUe ) Nachachtung verschafft wird: Der ersuchende Staat darf im Falle der Auslieferung lediglich denjenigen Sachverhalt zur Anklage bringen, der gemäss Art. 2 Ziff. 1 EAUe auch nach schweizerischem Strafrecht grundsätzlich strafbar wäre (inkriminiertes Tötungsdelikt vom 30. April 1994). Eine allfällige Ausdehnung des Anklagesachverhaltes wäre nur mit ausdrücklicher Zustimmung der schweizerischen Behörden zulässig ( Art. 14 Ziff. 1 lit. a EAUe ; vgl. BGE 131 II 235 E. 2.14 S. 243 f.).</w:t>
      </w:r>
    </w:p>
    <w:p>
      <w:r>
        <w:rPr>
          <w:b/>
        </w:rPr>
        <w:t>E. 4.9</w:t>
      </w:r>
    </w:p>
    <w:p>
      <w:r>
        <w:t>Der angefochtene Auslieferungsentscheid erfolgte bereits unter dem Vorbehalt eines rechtskräftigen ablehnenden Asylentscheids. Das Asylgesuch des Verfolgten wurde am 14. November 2006 vom BGE 133 IV 76 S. 92 Bundesamt für Migration (BFM) erstinstanzlich abgewiesen. Der Auslieferungsentscheid kann demnach nur vollzogen werden, wenn - a) - der ablehnende Asylentscheid des BFM rechtskräftig geworden ist (vgl. auch BGE 132 II 469 E. 2.5 S. 473; BGE 122 II 373 E. 2d S. 380 f.) und - b) - die ersuchende Behörde die oben (E. 4.8) genannte ausdrückliche Garantieerklärung abgegeben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